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E3" w:rsidRDefault="00E169E3" w:rsidP="00DF1AE5">
      <w:pPr>
        <w:pStyle w:val="11"/>
        <w:spacing w:before="64" w:line="276" w:lineRule="auto"/>
        <w:ind w:left="1134" w:right="195" w:hanging="1134"/>
        <w:jc w:val="center"/>
      </w:pPr>
      <w:r w:rsidRPr="00E169E3">
        <w:t>Перелік документів, що має надати акціонер (представник акціонера) для його участі у</w:t>
      </w:r>
      <w:r w:rsidRPr="00E169E3">
        <w:rPr>
          <w:spacing w:val="-52"/>
        </w:rPr>
        <w:t xml:space="preserve"> </w:t>
      </w:r>
      <w:r w:rsidRPr="00E169E3">
        <w:t>дистанційних</w:t>
      </w:r>
      <w:r w:rsidRPr="00E169E3">
        <w:rPr>
          <w:spacing w:val="-4"/>
        </w:rPr>
        <w:t xml:space="preserve"> </w:t>
      </w:r>
      <w:r w:rsidR="00DF1AE5">
        <w:rPr>
          <w:spacing w:val="-4"/>
        </w:rPr>
        <w:t xml:space="preserve">річних </w:t>
      </w:r>
      <w:r w:rsidRPr="00E169E3">
        <w:t>загальних</w:t>
      </w:r>
      <w:r w:rsidRPr="00E169E3">
        <w:rPr>
          <w:spacing w:val="-4"/>
        </w:rPr>
        <w:t xml:space="preserve"> </w:t>
      </w:r>
      <w:r w:rsidRPr="00E169E3">
        <w:t>зборах</w:t>
      </w:r>
      <w:r w:rsidRPr="00E169E3">
        <w:rPr>
          <w:spacing w:val="-3"/>
        </w:rPr>
        <w:t xml:space="preserve"> </w:t>
      </w:r>
      <w:r w:rsidRPr="00E169E3">
        <w:t>акціонерів</w:t>
      </w:r>
    </w:p>
    <w:p w:rsidR="00E169E3" w:rsidRDefault="00E169E3" w:rsidP="00DF1AE5">
      <w:pPr>
        <w:pStyle w:val="11"/>
        <w:spacing w:before="64" w:line="276" w:lineRule="auto"/>
        <w:ind w:left="1134" w:right="195" w:hanging="1134"/>
        <w:jc w:val="center"/>
        <w:rPr>
          <w:spacing w:val="-6"/>
        </w:rPr>
      </w:pPr>
      <w:r w:rsidRPr="00E169E3">
        <w:t>ПРИВАТНОГО</w:t>
      </w:r>
      <w:r w:rsidRPr="00E169E3">
        <w:rPr>
          <w:spacing w:val="-4"/>
        </w:rPr>
        <w:t xml:space="preserve"> </w:t>
      </w:r>
      <w:r w:rsidRPr="00E169E3">
        <w:t>АКЦІОНЕРНОГО</w:t>
      </w:r>
      <w:r w:rsidRPr="00E169E3">
        <w:rPr>
          <w:spacing w:val="-4"/>
        </w:rPr>
        <w:t xml:space="preserve"> </w:t>
      </w:r>
      <w:r w:rsidRPr="00E169E3">
        <w:t>ТОВАРИСТВА</w:t>
      </w:r>
    </w:p>
    <w:p w:rsidR="00BC2613" w:rsidRPr="00E169E3" w:rsidRDefault="00E169E3" w:rsidP="00DF1AE5">
      <w:pPr>
        <w:pStyle w:val="11"/>
        <w:spacing w:before="64" w:line="276" w:lineRule="auto"/>
        <w:ind w:left="1134" w:right="195" w:hanging="1134"/>
        <w:jc w:val="center"/>
      </w:pPr>
      <w:r w:rsidRPr="00E169E3">
        <w:t>«ЛЬВІВСЬКИЙ ІНСТРУМЕНТАЛЬНИЙ ЗАВОД»,</w:t>
      </w:r>
      <w:r>
        <w:t xml:space="preserve"> </w:t>
      </w:r>
      <w:r w:rsidRPr="00E169E3">
        <w:t>що</w:t>
      </w:r>
      <w:r w:rsidRPr="00E169E3">
        <w:rPr>
          <w:spacing w:val="-2"/>
        </w:rPr>
        <w:t xml:space="preserve"> </w:t>
      </w:r>
      <w:r w:rsidRPr="00E169E3">
        <w:t>скликаються</w:t>
      </w:r>
      <w:r w:rsidRPr="00E169E3">
        <w:rPr>
          <w:spacing w:val="-2"/>
        </w:rPr>
        <w:t xml:space="preserve"> </w:t>
      </w:r>
      <w:r>
        <w:t>2</w:t>
      </w:r>
      <w:r w:rsidR="003B53AC">
        <w:t>2</w:t>
      </w:r>
      <w:bookmarkStart w:id="0" w:name="_GoBack"/>
      <w:bookmarkEnd w:id="0"/>
      <w:r>
        <w:t>.12</w:t>
      </w:r>
      <w:r w:rsidRPr="00E169E3">
        <w:t>.2022</w:t>
      </w:r>
      <w:r w:rsidRPr="00E169E3">
        <w:rPr>
          <w:spacing w:val="-2"/>
        </w:rPr>
        <w:t xml:space="preserve"> </w:t>
      </w:r>
      <w:r w:rsidR="00DF1AE5">
        <w:t>року.</w:t>
      </w:r>
    </w:p>
    <w:p w:rsidR="00BC2613" w:rsidRDefault="00BC2613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BC2613" w:rsidRDefault="00E169E3">
      <w:pPr>
        <w:pStyle w:val="a3"/>
        <w:spacing w:line="276" w:lineRule="auto"/>
        <w:ind w:right="106"/>
      </w:pPr>
      <w:r>
        <w:t>Для реєстрації</w:t>
      </w:r>
      <w:r>
        <w:rPr>
          <w:spacing w:val="1"/>
        </w:rPr>
        <w:t xml:space="preserve"> </w:t>
      </w:r>
      <w:r>
        <w:t>та участі у зборах представники акціонерів повинні мати при собі</w:t>
      </w:r>
      <w:r>
        <w:rPr>
          <w:spacing w:val="55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 посвідчує особу (паспорт) та довіреність (статут, витяг з Єдиного державного реєстру юридичних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формувань),</w:t>
      </w:r>
      <w:r>
        <w:rPr>
          <w:spacing w:val="1"/>
        </w:rPr>
        <w:t xml:space="preserve"> </w:t>
      </w:r>
      <w:r>
        <w:t>оформлені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законодавства.</w:t>
      </w:r>
    </w:p>
    <w:p w:rsidR="00BC2613" w:rsidRDefault="00E169E3">
      <w:pPr>
        <w:pStyle w:val="a3"/>
        <w:spacing w:before="199"/>
        <w:ind w:left="824" w:firstLine="0"/>
        <w:jc w:val="left"/>
      </w:pPr>
      <w:r>
        <w:t>Порядок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голосування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загальних</w:t>
      </w:r>
      <w:r>
        <w:rPr>
          <w:spacing w:val="-4"/>
        </w:rPr>
        <w:t xml:space="preserve"> </w:t>
      </w:r>
      <w:r>
        <w:t>зборах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довіреністю.</w:t>
      </w:r>
    </w:p>
    <w:p w:rsidR="00BC2613" w:rsidRDefault="00BC2613">
      <w:pPr>
        <w:pStyle w:val="a3"/>
        <w:spacing w:before="7"/>
        <w:ind w:left="0" w:firstLine="0"/>
        <w:jc w:val="left"/>
        <w:rPr>
          <w:sz w:val="20"/>
        </w:rPr>
      </w:pPr>
    </w:p>
    <w:p w:rsidR="00BC2613" w:rsidRDefault="00E169E3">
      <w:pPr>
        <w:pStyle w:val="a3"/>
        <w:spacing w:line="278" w:lineRule="auto"/>
        <w:ind w:right="108"/>
      </w:pPr>
      <w:r>
        <w:t>Представником акціонера на загальних зборах може бути фізична особа або уповноважена</w:t>
      </w:r>
      <w:r>
        <w:rPr>
          <w:spacing w:val="1"/>
        </w:rPr>
        <w:t xml:space="preserve"> </w:t>
      </w:r>
      <w:r>
        <w:t>особа</w:t>
      </w:r>
      <w:r>
        <w:rPr>
          <w:spacing w:val="-2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особи.</w:t>
      </w:r>
    </w:p>
    <w:p w:rsidR="00BC2613" w:rsidRDefault="00E169E3">
      <w:pPr>
        <w:pStyle w:val="a3"/>
        <w:spacing w:before="195" w:line="276" w:lineRule="auto"/>
        <w:ind w:right="110"/>
      </w:pPr>
      <w:r>
        <w:t>Посадові особи органів Товариства та їх афілійовані особи не можуть бути представниками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акціонерів</w:t>
      </w:r>
      <w:r>
        <w:rPr>
          <w:spacing w:val="-4"/>
        </w:rPr>
        <w:t xml:space="preserve"> </w:t>
      </w:r>
      <w:r>
        <w:t>Товариства на загальних зборах.</w:t>
      </w:r>
    </w:p>
    <w:p w:rsidR="00BC2613" w:rsidRDefault="00E169E3">
      <w:pPr>
        <w:pStyle w:val="a3"/>
        <w:spacing w:before="202" w:line="276" w:lineRule="auto"/>
        <w:ind w:right="106"/>
      </w:pPr>
      <w:r>
        <w:t>Акціонер має право призначити свого представника постійно або на певний строк. Акціонер</w:t>
      </w:r>
      <w:r>
        <w:rPr>
          <w:spacing w:val="1"/>
        </w:rPr>
        <w:t xml:space="preserve"> </w:t>
      </w:r>
      <w:r>
        <w:t>має право у будь-який час замінити свого представника, повідомивши про це виконавчий орган</w:t>
      </w:r>
      <w:r>
        <w:rPr>
          <w:spacing w:val="1"/>
        </w:rPr>
        <w:t xml:space="preserve"> </w:t>
      </w:r>
      <w:r>
        <w:t>Товариства.</w:t>
      </w:r>
    </w:p>
    <w:p w:rsidR="00BC2613" w:rsidRDefault="00E169E3">
      <w:pPr>
        <w:pStyle w:val="a3"/>
        <w:spacing w:before="200" w:line="276" w:lineRule="auto"/>
        <w:ind w:right="110"/>
      </w:pPr>
      <w:r>
        <w:t>Довіреність на право участі та голосування на загальних зборах, видана фізичною особою,</w:t>
      </w:r>
      <w:r>
        <w:rPr>
          <w:spacing w:val="1"/>
        </w:rPr>
        <w:t xml:space="preserve"> </w:t>
      </w:r>
      <w:r>
        <w:t>посвідчується нотаріусом або іншими посадовими особами, які вчиняють нотаріальні дії, а також</w:t>
      </w:r>
      <w:r>
        <w:rPr>
          <w:spacing w:val="1"/>
        </w:rPr>
        <w:t xml:space="preserve"> </w:t>
      </w:r>
      <w:r>
        <w:t>може посвідчуватися депозитарною установою в порядку визначеному НКЦПФР. Довіреність на</w:t>
      </w:r>
      <w:r>
        <w:rPr>
          <w:spacing w:val="1"/>
        </w:rPr>
        <w:t xml:space="preserve"> </w:t>
      </w:r>
      <w:r>
        <w:t>право участі та голосування на загальних зборах від імені юридичної особи видається її органом або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уповноваженою</w:t>
      </w:r>
      <w:r>
        <w:rPr>
          <w:spacing w:val="1"/>
        </w:rPr>
        <w:t xml:space="preserve"> </w:t>
      </w:r>
      <w:r>
        <w:t>на це її установчими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акціонера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довіреністю</w:t>
      </w:r>
      <w:r>
        <w:rPr>
          <w:spacing w:val="1"/>
        </w:rPr>
        <w:t xml:space="preserve"> </w:t>
      </w:r>
      <w:r>
        <w:t>реєстраційній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оригінал</w:t>
      </w:r>
      <w:r>
        <w:rPr>
          <w:spacing w:val="1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нотаріально</w:t>
      </w:r>
      <w:r>
        <w:rPr>
          <w:spacing w:val="1"/>
        </w:rPr>
        <w:t xml:space="preserve"> </w:t>
      </w:r>
      <w:r>
        <w:t>засвідчена</w:t>
      </w:r>
      <w:r>
        <w:rPr>
          <w:spacing w:val="-4"/>
        </w:rPr>
        <w:t xml:space="preserve"> </w:t>
      </w:r>
      <w:r>
        <w:t>копія, яка залишаться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матеріалах Зборів.</w:t>
      </w:r>
    </w:p>
    <w:p w:rsidR="00BC2613" w:rsidRDefault="00E169E3">
      <w:pPr>
        <w:pStyle w:val="a3"/>
        <w:spacing w:before="200" w:line="276" w:lineRule="auto"/>
        <w:ind w:right="108"/>
      </w:pPr>
      <w:r>
        <w:t>Довіреність на право участі на голосуванні на загальних зборах може містити завдання щодо</w:t>
      </w:r>
      <w:r>
        <w:rPr>
          <w:spacing w:val="1"/>
        </w:rPr>
        <w:t xml:space="preserve"> </w:t>
      </w:r>
      <w:r>
        <w:t>голосування, тобто перелік питань порядку денного загальних зборів із зазначенням того, як і за яке</w:t>
      </w:r>
      <w:r>
        <w:rPr>
          <w:spacing w:val="1"/>
        </w:rPr>
        <w:t xml:space="preserve"> </w:t>
      </w:r>
      <w:r>
        <w:t>(проти якого) рішення потрібно проголосувати. Під час голосування на загальних зборах представник</w:t>
      </w:r>
      <w:r>
        <w:rPr>
          <w:spacing w:val="-52"/>
        </w:rPr>
        <w:t xml:space="preserve"> </w:t>
      </w:r>
      <w:r>
        <w:t>повинен голосувати саме так, як передбачено завданням щодо голосування. Якщо довіреність не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голосування,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голосування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-1"/>
        </w:rPr>
        <w:t xml:space="preserve"> </w:t>
      </w:r>
      <w:r>
        <w:t>зборах на свій</w:t>
      </w:r>
      <w:r>
        <w:rPr>
          <w:spacing w:val="-3"/>
        </w:rPr>
        <w:t xml:space="preserve"> </w:t>
      </w:r>
      <w:r>
        <w:t>розсуд.</w:t>
      </w:r>
    </w:p>
    <w:p w:rsidR="00BC2613" w:rsidRDefault="00E169E3">
      <w:pPr>
        <w:pStyle w:val="a3"/>
        <w:spacing w:before="201" w:line="276" w:lineRule="auto"/>
        <w:ind w:right="109"/>
      </w:pPr>
      <w:r>
        <w:t>Акціонер має право видати довіреність на право участі та голосування на загальних зборах</w:t>
      </w:r>
      <w:r>
        <w:rPr>
          <w:spacing w:val="1"/>
        </w:rPr>
        <w:t xml:space="preserve"> </w:t>
      </w:r>
      <w:r>
        <w:t>декільком</w:t>
      </w:r>
      <w:r>
        <w:rPr>
          <w:spacing w:val="-1"/>
        </w:rPr>
        <w:t xml:space="preserve"> </w:t>
      </w:r>
      <w:r>
        <w:t>своїм представникам.</w:t>
      </w:r>
    </w:p>
    <w:p w:rsidR="00BC2613" w:rsidRDefault="00E169E3">
      <w:pPr>
        <w:pStyle w:val="a3"/>
        <w:spacing w:before="198" w:line="276" w:lineRule="auto"/>
        <w:ind w:right="108"/>
      </w:pPr>
      <w:r>
        <w:t>Акціонер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акціонерів</w:t>
      </w:r>
      <w:r>
        <w:rPr>
          <w:spacing w:val="55"/>
        </w:rPr>
        <w:t xml:space="preserve"> </w:t>
      </w:r>
      <w:r>
        <w:t>відкликати</w:t>
      </w:r>
      <w:r>
        <w:rPr>
          <w:spacing w:val="55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змінити</w:t>
      </w:r>
      <w:r>
        <w:rPr>
          <w:spacing w:val="-1"/>
        </w:rPr>
        <w:t xml:space="preserve"> </w:t>
      </w:r>
      <w:r>
        <w:t>свого представника на загальних</w:t>
      </w:r>
      <w:r>
        <w:rPr>
          <w:spacing w:val="-3"/>
        </w:rPr>
        <w:t xml:space="preserve"> </w:t>
      </w:r>
      <w:r>
        <w:t>зборах.</w:t>
      </w:r>
    </w:p>
    <w:p w:rsidR="00BC2613" w:rsidRDefault="00E169E3">
      <w:pPr>
        <w:pStyle w:val="a3"/>
        <w:spacing w:before="201" w:line="276" w:lineRule="auto"/>
        <w:ind w:right="110"/>
      </w:pPr>
      <w:r>
        <w:t>Надання довіреності на право участі та голосування на загальних зборах не виключає право</w:t>
      </w:r>
      <w:r>
        <w:rPr>
          <w:spacing w:val="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загальних</w:t>
      </w:r>
      <w:r>
        <w:rPr>
          <w:spacing w:val="-1"/>
        </w:rPr>
        <w:t xml:space="preserve"> </w:t>
      </w:r>
      <w:r>
        <w:t>зборах</w:t>
      </w:r>
      <w:r>
        <w:rPr>
          <w:spacing w:val="-4"/>
        </w:rPr>
        <w:t xml:space="preserve"> </w:t>
      </w:r>
      <w:r>
        <w:t>акціонера,</w:t>
      </w:r>
      <w:r>
        <w:rPr>
          <w:spacing w:val="-3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видав</w:t>
      </w:r>
      <w:r>
        <w:rPr>
          <w:spacing w:val="-1"/>
        </w:rPr>
        <w:t xml:space="preserve"> </w:t>
      </w:r>
      <w:r>
        <w:t>довіреність,</w:t>
      </w:r>
      <w:r>
        <w:rPr>
          <w:spacing w:val="-1"/>
        </w:rPr>
        <w:t xml:space="preserve"> </w:t>
      </w:r>
      <w:r>
        <w:t>замість</w:t>
      </w:r>
      <w:r>
        <w:rPr>
          <w:spacing w:val="-4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представника.</w:t>
      </w:r>
    </w:p>
    <w:p w:rsidR="00BC2613" w:rsidRDefault="00BC2613">
      <w:pPr>
        <w:pStyle w:val="11"/>
        <w:spacing w:before="1" w:line="240" w:lineRule="auto"/>
      </w:pPr>
    </w:p>
    <w:sectPr w:rsidR="00BC2613" w:rsidSect="00BC2613">
      <w:type w:val="continuous"/>
      <w:pgSz w:w="11910" w:h="16840"/>
      <w:pgMar w:top="102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2613"/>
    <w:rsid w:val="003B53AC"/>
    <w:rsid w:val="00BC2613"/>
    <w:rsid w:val="00DF1AE5"/>
    <w:rsid w:val="00E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715"/>
  <w15:docId w15:val="{481C8016-966A-4A85-80BA-42AB309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261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6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613"/>
    <w:pPr>
      <w:ind w:left="116" w:firstLine="707"/>
      <w:jc w:val="both"/>
    </w:pPr>
  </w:style>
  <w:style w:type="paragraph" w:customStyle="1" w:styleId="11">
    <w:name w:val="Заголовок 11"/>
    <w:basedOn w:val="a"/>
    <w:uiPriority w:val="1"/>
    <w:qFormat/>
    <w:rsid w:val="00BC2613"/>
    <w:pPr>
      <w:spacing w:line="252" w:lineRule="exact"/>
      <w:ind w:left="824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C2613"/>
  </w:style>
  <w:style w:type="paragraph" w:customStyle="1" w:styleId="TableParagraph">
    <w:name w:val="Table Paragraph"/>
    <w:basedOn w:val="a"/>
    <w:uiPriority w:val="1"/>
    <w:qFormat/>
    <w:rsid w:val="00BC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Дмитрий Евгеньевич</dc:creator>
  <cp:lastModifiedBy>vy1</cp:lastModifiedBy>
  <cp:revision>5</cp:revision>
  <dcterms:created xsi:type="dcterms:W3CDTF">2022-11-15T12:38:00Z</dcterms:created>
  <dcterms:modified xsi:type="dcterms:W3CDTF">2022-11-21T07:57:00Z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